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SYLLABUS: FRENCH 2 Honors – E PERIOD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Diversity in the French-Speaking World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3"/>
        <w:gridCol w:w="3048"/>
        <w:gridCol w:w="2614"/>
        <w:gridCol w:w="2725"/>
        <w:tblGridChange w:id="0">
          <w:tblGrid>
            <w:gridCol w:w="963"/>
            <w:gridCol w:w="3048"/>
            <w:gridCol w:w="2614"/>
            <w:gridCol w:w="272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Context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Linguistic goals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How do I succeed in school?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Comparison of French and American school systems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Review of structures and vocabulary of French 1; introduction of ir verbs; use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je dois…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vocabulary associated with schools and comparison essays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Do you have a dream?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French students’ passions and dreams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Review of structures and vocabulary of French 1; future with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aller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; creative writing; oral presentation skills; er verbs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How does one tell a story?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Haitian story-telling traditions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Vocabulary associated with story-telling traditions and stories,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Tipingee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(a Haitian story). Verb être, adjectives to describe people, comparisons; re verbs; expressions with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faire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Where is French spoken in the world?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Francophone countries and their cultures (general introduction)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Nationalities; prepositions with countries; convincing others; vocabulary associated with a country’s culture (music, cuisine, traditions…).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How do I decide where to travel?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Travel to Francophone countries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Asking and answering questions; requesting information; justifying decisions; extending vocabulary on cultures; use of future and present tenses; verb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venir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Why should one travel to the city?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Francophone cities and travel to them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Vocabulary associated with cities, travel, sightseeing, past tense expressions, youth activities in cities, Paris; review of future tense (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futur proche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);use and formation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passé composé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(past tense); verbs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sortir, partir, dormir</w:t>
            </w:r>
          </w:p>
        </w:tc>
      </w:tr>
    </w:tbl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95C1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BeqwdY4/2tzTD9+lGiVqXBlyg==">AMUW2mXV3k3S1cvgpotYytpJbuJ4Y/2cmap1vahy2Wr6CQKDkdr4T5DChIPh1nSVQ1T9F693+zk9EaJiAPxmvk7N7qEHniGGM3QPEw+o2mmAOr9hh1z8mWMkRw14wG1ZWSSZfalhHsGU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2017-08-16T15:12:00Z</dcterms:created>
  <dc:creator>Kehrley, Christine</dc:creator>
</cp:coreProperties>
</file>